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9DCCB">
      <w:pPr>
        <w:pStyle w:val="16"/>
        <w:keepNext w:val="0"/>
        <w:keepLines w:val="0"/>
        <w:pageBreakBefore w:val="0"/>
        <w:widowControl/>
        <w:kinsoku/>
        <w:wordWrap/>
        <w:overflowPunct/>
        <w:topLinePunct w:val="0"/>
        <w:autoSpaceDE/>
        <w:autoSpaceDN/>
        <w:bidi w:val="0"/>
        <w:adjustRightInd/>
        <w:snapToGrid/>
        <w:spacing w:before="292" w:beforeLines="50" w:after="292" w:afterLines="50" w:line="240" w:lineRule="auto"/>
        <w:jc w:val="center"/>
        <w:textAlignment w:val="auto"/>
        <w:rPr>
          <w:sz w:val="24"/>
          <w:szCs w:val="24"/>
        </w:rPr>
      </w:pPr>
      <mc:AlternateContent>
        <mc:Choice Requires="wpsCustomData">
          <wpsCustomData:docfieldStart id="0" docfieldname="标题_1" hidden="0" print="1" readonly="0" index="8"/>
        </mc:Choice>
      </mc:AlternateContent>
      <w:r>
        <w:rPr>
          <w:sz w:val="24"/>
          <w:szCs w:val="24"/>
        </w:rPr>
        <w:t>关于做好2026届本科毕业论文（设计）答辩工作的通知</w:t>
      </w:r>
      <mc:AlternateContent>
        <mc:Choice Requires="wpsCustomData">
          <wpsCustomData:docfieldEnd id="0"/>
        </mc:Choice>
      </mc:AlternateContent>
    </w:p>
    <w:p w14:paraId="2439B802">
      <w:pPr>
        <w:pStyle w:val="22"/>
        <w:pageBreakBefore w:val="0"/>
        <w:widowControl/>
        <w:kinsoku/>
        <w:wordWrap/>
        <w:overflowPunct/>
        <w:topLinePunct w:val="0"/>
        <w:autoSpaceDE/>
        <w:autoSpaceDN/>
        <w:bidi w:val="0"/>
        <w:snapToGrid/>
        <w:spacing w:line="540" w:lineRule="exact"/>
        <w:textAlignment w:val="auto"/>
        <w:rPr>
          <w:sz w:val="24"/>
          <w:szCs w:val="24"/>
        </w:rPr>
      </w:pPr>
      <mc:AlternateContent>
        <mc:Choice Requires="wpsCustomData">
          <wpsCustomData:docfieldStart id="1" docfieldname="主送机关_1" hidden="0" print="1" readonly="0" index="9"/>
        </mc:Choice>
      </mc:AlternateContent>
      <w:r>
        <w:rPr>
          <w:sz w:val="24"/>
          <w:szCs w:val="24"/>
        </w:rPr>
        <w:t>各学院</w:t>
      </w:r>
      <mc:AlternateContent>
        <mc:Choice Requires="wpsCustomData">
          <wpsCustomData:docfieldEnd id="1"/>
        </mc:Choice>
      </mc:AlternateContent>
      <w:r>
        <w:rPr>
          <w:sz w:val="24"/>
          <w:szCs w:val="24"/>
        </w:rPr>
        <w:t>：</w:t>
      </w:r>
    </w:p>
    <w:p w14:paraId="45D3B6DD">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为做好2026届本科毕业论文（设计）答辩工作，现就有关事宜通知如下：</w:t>
      </w:r>
    </w:p>
    <w:p w14:paraId="2EF0E5FE">
      <w:pPr>
        <w:pStyle w:val="2"/>
        <w:pageBreakBefore w:val="0"/>
        <w:widowControl/>
        <w:kinsoku/>
        <w:wordWrap/>
        <w:overflowPunct/>
        <w:topLinePunct w:val="0"/>
        <w:autoSpaceDE/>
        <w:autoSpaceDN/>
        <w:bidi w:val="0"/>
        <w:snapToGrid/>
        <w:spacing w:line="540" w:lineRule="exact"/>
        <w:textAlignment w:val="auto"/>
        <w:rPr>
          <w:rFonts w:ascii="黑体" w:hAnsi="黑体" w:eastAsia="黑体" w:cs="黑体"/>
          <w:sz w:val="24"/>
          <w:szCs w:val="24"/>
        </w:rPr>
      </w:pPr>
      <w:r>
        <w:rPr>
          <w:rFonts w:hint="eastAsia" w:ascii="黑体" w:hAnsi="黑体" w:eastAsia="黑体" w:cs="黑体"/>
          <w:sz w:val="24"/>
          <w:szCs w:val="24"/>
          <w:lang w:val="en-US" w:eastAsia="zh-CN"/>
        </w:rPr>
        <w:t>一、</w:t>
      </w:r>
      <w:r>
        <w:rPr>
          <w:rFonts w:ascii="黑体" w:hAnsi="黑体" w:eastAsia="黑体" w:cs="黑体"/>
          <w:sz w:val="24"/>
          <w:szCs w:val="24"/>
        </w:rPr>
        <w:t>答辩时间</w:t>
      </w:r>
    </w:p>
    <w:p w14:paraId="47566E75">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请各学院于</w:t>
      </w:r>
      <w:r>
        <w:rPr>
          <w:color w:val="0000FF"/>
          <w:sz w:val="24"/>
          <w:szCs w:val="24"/>
        </w:rPr>
        <w:t>202</w:t>
      </w:r>
      <w:r>
        <w:rPr>
          <w:rFonts w:hint="default"/>
          <w:color w:val="0000FF"/>
          <w:sz w:val="24"/>
          <w:szCs w:val="24"/>
          <w:lang w:val="en-US"/>
        </w:rPr>
        <w:t>6</w:t>
      </w:r>
      <w:r>
        <w:rPr>
          <w:color w:val="0000FF"/>
          <w:sz w:val="24"/>
          <w:szCs w:val="24"/>
        </w:rPr>
        <w:t>年4月25日（星期六）</w:t>
      </w:r>
      <w:r>
        <w:rPr>
          <w:sz w:val="24"/>
          <w:szCs w:val="24"/>
        </w:rPr>
        <w:t>前完成答辩。如因学生人数较多，4月25日当天难以完成答辩工作的教学单位，可自行提前安排学生进行答辩，并上报教务处备案。毕业论文（设计）</w:t>
      </w:r>
      <w:r>
        <w:rPr>
          <w:color w:val="0000FF"/>
          <w:sz w:val="24"/>
          <w:szCs w:val="24"/>
        </w:rPr>
        <w:t>成绩必须在5月19日前录入</w:t>
      </w:r>
      <w:r>
        <w:rPr>
          <w:sz w:val="24"/>
          <w:szCs w:val="24"/>
        </w:rPr>
        <w:t>学校教务系统。</w:t>
      </w:r>
    </w:p>
    <w:p w14:paraId="61BC0509">
      <w:pPr>
        <w:pStyle w:val="2"/>
        <w:pageBreakBefore w:val="0"/>
        <w:widowControl/>
        <w:kinsoku/>
        <w:wordWrap/>
        <w:overflowPunct/>
        <w:topLinePunct w:val="0"/>
        <w:autoSpaceDE/>
        <w:autoSpaceDN/>
        <w:bidi w:val="0"/>
        <w:snapToGrid/>
        <w:spacing w:line="540" w:lineRule="exact"/>
        <w:textAlignment w:val="auto"/>
        <w:rPr>
          <w:sz w:val="24"/>
          <w:szCs w:val="24"/>
        </w:rPr>
      </w:pPr>
      <w:r>
        <w:rPr>
          <w:sz w:val="24"/>
          <w:szCs w:val="24"/>
        </w:rPr>
        <w:t>二、答辩地点</w:t>
      </w:r>
    </w:p>
    <w:p w14:paraId="493BAF66">
      <w:pPr>
        <w:pStyle w:val="11"/>
        <w:pageBreakBefore w:val="0"/>
        <w:widowControl/>
        <w:kinsoku/>
        <w:wordWrap/>
        <w:overflowPunct/>
        <w:topLinePunct w:val="0"/>
        <w:autoSpaceDE/>
        <w:autoSpaceDN/>
        <w:bidi w:val="0"/>
        <w:snapToGrid/>
        <w:spacing w:line="540" w:lineRule="exact"/>
        <w:textAlignment w:val="auto"/>
        <w:rPr>
          <w:sz w:val="24"/>
          <w:szCs w:val="24"/>
        </w:rPr>
      </w:pPr>
      <w:r>
        <w:rPr>
          <w:color w:val="0000FF"/>
          <w:sz w:val="24"/>
          <w:szCs w:val="24"/>
        </w:rPr>
        <w:t>202</w:t>
      </w:r>
      <w:r>
        <w:rPr>
          <w:rFonts w:hint="default"/>
          <w:color w:val="0000FF"/>
          <w:sz w:val="24"/>
          <w:szCs w:val="24"/>
          <w:lang w:val="en-US"/>
        </w:rPr>
        <w:t>6</w:t>
      </w:r>
      <w:r>
        <w:rPr>
          <w:color w:val="0000FF"/>
          <w:sz w:val="24"/>
          <w:szCs w:val="24"/>
        </w:rPr>
        <w:t>年4月25日为全校答辩时间</w:t>
      </w:r>
      <w:r>
        <w:rPr>
          <w:sz w:val="24"/>
          <w:szCs w:val="24"/>
        </w:rPr>
        <w:t>，答辩地点由各学院自行申请并报送教务处实践教学科（附件3），其他时间各学院根据学校相关规定自行组织并申请答辩教室。</w:t>
      </w:r>
    </w:p>
    <w:p w14:paraId="155B1814">
      <w:pPr>
        <w:pStyle w:val="2"/>
        <w:pageBreakBefore w:val="0"/>
        <w:widowControl/>
        <w:kinsoku/>
        <w:wordWrap/>
        <w:overflowPunct/>
        <w:topLinePunct w:val="0"/>
        <w:autoSpaceDE/>
        <w:autoSpaceDN/>
        <w:bidi w:val="0"/>
        <w:snapToGrid/>
        <w:spacing w:line="540" w:lineRule="exact"/>
        <w:textAlignment w:val="auto"/>
        <w:rPr>
          <w:sz w:val="24"/>
          <w:szCs w:val="24"/>
        </w:rPr>
      </w:pPr>
      <w:r>
        <w:rPr>
          <w:sz w:val="24"/>
          <w:szCs w:val="24"/>
        </w:rPr>
        <w:t>三、答辩学生</w:t>
      </w:r>
    </w:p>
    <w:p w14:paraId="5298922D">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学院毕业论文（设计）工作领导小组确定可参加答辩的学生（含往届重新撰写论文的已结业学生）。其中以下学生不得参加答辩：</w:t>
      </w:r>
    </w:p>
    <w:p w14:paraId="3AE6D094">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（一）毕业论文（设计）的指导教师评定成绩、第二评阅人评阅成绩相加的平均分未达到60分的学生，不得参加答辩。</w:t>
      </w:r>
    </w:p>
    <w:p w14:paraId="459CD1C4">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（二）抽检中被认定为“存在问题毕业论文（设计）”，经学生修改后，提交所在学院毕业论文（设计）指导委员会审核，审核通过的可参加补答辩；审核不通过的，不得参加补答辩。</w:t>
      </w:r>
    </w:p>
    <w:p w14:paraId="4D783F33">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（三）如学生在论文撰写及检测中弄虚作假的，一律取消其毕业论文（设计）成绩。</w:t>
      </w:r>
    </w:p>
    <w:p w14:paraId="1D9A1658">
      <w:pPr>
        <w:pStyle w:val="2"/>
        <w:pageBreakBefore w:val="0"/>
        <w:widowControl/>
        <w:kinsoku/>
        <w:wordWrap/>
        <w:overflowPunct/>
        <w:topLinePunct w:val="0"/>
        <w:autoSpaceDE/>
        <w:autoSpaceDN/>
        <w:bidi w:val="0"/>
        <w:snapToGrid/>
        <w:spacing w:line="540" w:lineRule="exact"/>
        <w:textAlignment w:val="auto"/>
        <w:rPr>
          <w:sz w:val="24"/>
          <w:szCs w:val="24"/>
        </w:rPr>
      </w:pPr>
      <w:r>
        <w:rPr>
          <w:sz w:val="24"/>
          <w:szCs w:val="24"/>
        </w:rPr>
        <w:t>四、答辩程序及质量要求</w:t>
      </w:r>
    </w:p>
    <w:p w14:paraId="05138990">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（一）答辩程序参见《广东外语外贸大学南国商学院本科毕业论文（设计）答辩程序》（附件2）。</w:t>
      </w:r>
    </w:p>
    <w:p w14:paraId="4D771874">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（二）答辩时学生的毕业论文（设计）所写内容，用PPT演示。</w:t>
      </w:r>
    </w:p>
    <w:p w14:paraId="07E43966">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三）各答辩组应从政治方向、学术诚信、选题意义、逻辑构建、专业能力以及学术规范等方面严格把关。答辩教师因论文答辩审核不严，导致不符合要求的毕业论文（设计）通过或获得高分、优秀评价的，根据相关规定追究相关人员责任。</w:t>
      </w:r>
    </w:p>
    <w:p w14:paraId="2042F635">
      <w:pPr>
        <w:pStyle w:val="2"/>
        <w:pageBreakBefore w:val="0"/>
        <w:widowControl/>
        <w:kinsoku/>
        <w:wordWrap/>
        <w:overflowPunct/>
        <w:topLinePunct w:val="0"/>
        <w:autoSpaceDE/>
        <w:autoSpaceDN/>
        <w:bidi w:val="0"/>
        <w:snapToGrid/>
        <w:spacing w:line="540" w:lineRule="exact"/>
        <w:textAlignment w:val="auto"/>
        <w:rPr>
          <w:sz w:val="24"/>
          <w:szCs w:val="24"/>
        </w:rPr>
      </w:pPr>
      <w:r>
        <w:rPr>
          <w:sz w:val="24"/>
          <w:szCs w:val="24"/>
        </w:rPr>
        <w:t>五、答辩组</w:t>
      </w:r>
    </w:p>
    <w:p w14:paraId="51306F07">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一）答辩组由3位及以上成员组成，答辩组成员应由具有讲师及以上职称或有两年以上本科教学经历的具有硕士及以上学位的教师担任，其中答辩组长应具有副高及以上职称（如个别学院条件不具备，亦应选择较有经验的相关学科专业背景讲师担任）。我校符合条件的专职教师原则上必须参加毕业论文（设计）的答辩工作。</w:t>
      </w:r>
    </w:p>
    <w:p w14:paraId="5169FDDF">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（二）如有需要学院亦可聘请校外相关学科专业背景副高及以上职称人员参与我校答辩工作，人数原则上不超过本学院答辩教师总人数的15％。</w:t>
      </w:r>
    </w:p>
    <w:p w14:paraId="05C1B605">
      <w:pPr>
        <w:pStyle w:val="2"/>
        <w:pageBreakBefore w:val="0"/>
        <w:widowControl/>
        <w:kinsoku/>
        <w:wordWrap/>
        <w:overflowPunct/>
        <w:topLinePunct w:val="0"/>
        <w:autoSpaceDE/>
        <w:autoSpaceDN/>
        <w:bidi w:val="0"/>
        <w:snapToGrid/>
        <w:spacing w:line="540" w:lineRule="exact"/>
        <w:textAlignment w:val="auto"/>
        <w:rPr>
          <w:sz w:val="24"/>
          <w:szCs w:val="24"/>
        </w:rPr>
      </w:pPr>
      <w:r>
        <w:rPr>
          <w:sz w:val="24"/>
          <w:szCs w:val="24"/>
        </w:rPr>
        <w:t>六、答辩准备工作</w:t>
      </w:r>
    </w:p>
    <w:p w14:paraId="769B0DD4">
      <w:pPr>
        <w:pStyle w:val="11"/>
        <w:pageBreakBefore w:val="0"/>
        <w:widowControl/>
        <w:kinsoku/>
        <w:wordWrap/>
        <w:overflowPunct/>
        <w:topLinePunct w:val="0"/>
        <w:autoSpaceDE/>
        <w:autoSpaceDN/>
        <w:bidi w:val="0"/>
        <w:snapToGrid/>
        <w:spacing w:line="540" w:lineRule="exact"/>
        <w:textAlignment w:val="auto"/>
        <w:rPr>
          <w:rFonts w:hint="eastAsia" w:eastAsia="仿宋_GB2312"/>
          <w:sz w:val="24"/>
          <w:szCs w:val="24"/>
          <w:lang w:eastAsia="zh-CN"/>
        </w:rPr>
      </w:pPr>
      <w:r>
        <w:rPr>
          <w:rFonts w:hint="eastAsia" w:eastAsia="仿宋_GB2312"/>
          <w:sz w:val="24"/>
          <w:szCs w:val="24"/>
          <w:lang w:eastAsia="zh-CN"/>
        </w:rPr>
        <w:t>请各学院于</w:t>
      </w:r>
      <w:r>
        <w:rPr>
          <w:rFonts w:hint="eastAsia" w:eastAsia="仿宋_GB2312"/>
          <w:color w:val="0000FF"/>
          <w:sz w:val="24"/>
          <w:szCs w:val="24"/>
          <w:lang w:eastAsia="zh-CN"/>
        </w:rPr>
        <w:t>4月10日前</w:t>
      </w:r>
      <w:r>
        <w:rPr>
          <w:rFonts w:hint="eastAsia" w:eastAsia="仿宋_GB2312"/>
          <w:sz w:val="24"/>
          <w:szCs w:val="24"/>
          <w:lang w:eastAsia="zh-CN"/>
        </w:rPr>
        <w:t>填写并上报《2026届毕业论文（设计）答辩准备工作表》（附件3，内含3份信息表，详见表格底端），以便教务处统筹协调答辩当天教室的多媒体设备、校车及用餐安排；于</w:t>
      </w:r>
      <w:r>
        <w:rPr>
          <w:rFonts w:hint="eastAsia" w:eastAsia="仿宋_GB2312"/>
          <w:color w:val="0000FF"/>
          <w:sz w:val="24"/>
          <w:szCs w:val="24"/>
          <w:lang w:eastAsia="zh-CN"/>
        </w:rPr>
        <w:t>4月20日前</w:t>
      </w:r>
      <w:r>
        <w:rPr>
          <w:rFonts w:hint="eastAsia" w:eastAsia="仿宋_GB2312"/>
          <w:sz w:val="24"/>
          <w:szCs w:val="24"/>
          <w:lang w:eastAsia="zh-CN"/>
        </w:rPr>
        <w:t>登录维普论文管理系统完成答辩分配工作（具体操作程序见附件1），导出《答辩分配表》并上报教务处</w:t>
      </w:r>
      <w:r>
        <w:rPr>
          <w:rFonts w:hint="eastAsia" w:eastAsia="仿宋_GB2312"/>
          <w:sz w:val="24"/>
          <w:szCs w:val="24"/>
          <w:lang w:eastAsia="zh-CN"/>
        </w:rPr>
        <w:fldChar w:fldCharType="begin"/>
      </w:r>
      <w:r>
        <w:rPr>
          <w:rFonts w:hint="eastAsia" w:eastAsia="仿宋_GB2312"/>
          <w:sz w:val="24"/>
          <w:szCs w:val="24"/>
          <w:lang w:eastAsia="zh-CN"/>
        </w:rPr>
        <w:instrText xml:space="preserve"> HYPERLINK "mailto:211034@gwng.edu.cn" </w:instrText>
      </w:r>
      <w:r>
        <w:rPr>
          <w:rFonts w:hint="eastAsia" w:eastAsia="仿宋_GB2312"/>
          <w:sz w:val="24"/>
          <w:szCs w:val="24"/>
          <w:lang w:eastAsia="zh-CN"/>
        </w:rPr>
        <w:fldChar w:fldCharType="separate"/>
      </w:r>
      <w:r>
        <w:rPr>
          <w:rStyle w:val="20"/>
          <w:rFonts w:hint="eastAsia" w:eastAsia="仿宋_GB2312"/>
          <w:sz w:val="24"/>
          <w:szCs w:val="24"/>
          <w:lang w:eastAsia="zh-CN"/>
        </w:rPr>
        <w:t>211034@gwng.edu.cn</w:t>
      </w:r>
      <w:r>
        <w:rPr>
          <w:rFonts w:hint="eastAsia" w:eastAsia="仿宋_GB2312"/>
          <w:sz w:val="24"/>
          <w:szCs w:val="24"/>
          <w:lang w:eastAsia="zh-CN"/>
        </w:rPr>
        <w:fldChar w:fldCharType="end"/>
      </w:r>
      <w:r>
        <w:rPr>
          <w:rFonts w:hint="eastAsia"/>
          <w:sz w:val="24"/>
          <w:szCs w:val="24"/>
          <w:lang w:val="en-US" w:eastAsia="zh-CN"/>
        </w:rPr>
        <w:t xml:space="preserve"> </w:t>
      </w:r>
      <w:r>
        <w:rPr>
          <w:rFonts w:hint="eastAsia" w:eastAsia="仿宋_GB2312"/>
          <w:sz w:val="24"/>
          <w:szCs w:val="24"/>
          <w:lang w:eastAsia="zh-CN"/>
        </w:rPr>
        <w:t>。</w:t>
      </w:r>
    </w:p>
    <w:p w14:paraId="20DF6BB6">
      <w:pPr>
        <w:pStyle w:val="2"/>
        <w:pageBreakBefore w:val="0"/>
        <w:widowControl/>
        <w:numPr>
          <w:ilvl w:val="0"/>
          <w:numId w:val="1"/>
        </w:numPr>
        <w:kinsoku/>
        <w:wordWrap/>
        <w:overflowPunct/>
        <w:topLinePunct w:val="0"/>
        <w:autoSpaceDE/>
        <w:autoSpaceDN/>
        <w:bidi w:val="0"/>
        <w:snapToGrid/>
        <w:spacing w:line="540" w:lineRule="exact"/>
        <w:textAlignment w:val="auto"/>
        <w:rPr>
          <w:sz w:val="24"/>
          <w:szCs w:val="24"/>
        </w:rPr>
      </w:pPr>
      <w:r>
        <w:rPr>
          <w:sz w:val="24"/>
          <w:szCs w:val="24"/>
        </w:rPr>
        <w:t>补答辩</w:t>
      </w:r>
      <w:r>
        <w:rPr>
          <w:rFonts w:hint="eastAsia"/>
          <w:sz w:val="24"/>
          <w:szCs w:val="24"/>
          <w:lang w:val="en-US" w:eastAsia="zh-CN"/>
        </w:rPr>
        <w:t>及后续</w:t>
      </w:r>
      <w:r>
        <w:rPr>
          <w:sz w:val="24"/>
          <w:szCs w:val="24"/>
        </w:rPr>
        <w:t>安排</w:t>
      </w:r>
    </w:p>
    <w:p w14:paraId="4EA020B2">
      <w:pPr>
        <w:numPr>
          <w:ilvl w:val="0"/>
          <w:numId w:val="0"/>
        </w:numPr>
        <w:ind w:firstLine="456" w:firstLineChars="200"/>
        <w:rPr>
          <w:rFonts w:hint="default" w:ascii="Times New Roman" w:hAnsi="Times New Roman" w:eastAsia="仿宋_GB2312" w:cs="仿宋_GB2312"/>
          <w:spacing w:val="-6"/>
          <w:kern w:val="0"/>
          <w:sz w:val="24"/>
          <w:szCs w:val="24"/>
          <w:lang w:val="en-US" w:eastAsia="zh-CN"/>
        </w:rPr>
      </w:pPr>
      <w:r>
        <w:rPr>
          <w:rFonts w:hint="eastAsia" w:ascii="Times New Roman" w:hAnsi="Times New Roman" w:eastAsia="仿宋_GB2312" w:cs="仿宋_GB2312"/>
          <w:spacing w:val="-6"/>
          <w:kern w:val="0"/>
          <w:sz w:val="24"/>
          <w:szCs w:val="24"/>
          <w:lang w:eastAsia="zh-CN"/>
        </w:rPr>
        <w:t>（</w:t>
      </w:r>
      <w:r>
        <w:rPr>
          <w:rFonts w:hint="eastAsia" w:ascii="Times New Roman" w:hAnsi="Times New Roman" w:eastAsia="仿宋_GB2312" w:cs="仿宋_GB2312"/>
          <w:spacing w:val="-6"/>
          <w:kern w:val="0"/>
          <w:sz w:val="24"/>
          <w:szCs w:val="24"/>
          <w:lang w:val="en-US" w:eastAsia="zh-CN"/>
        </w:rPr>
        <w:t>一</w:t>
      </w:r>
      <w:r>
        <w:rPr>
          <w:rFonts w:hint="eastAsia" w:ascii="Times New Roman" w:hAnsi="Times New Roman" w:eastAsia="仿宋_GB2312" w:cs="仿宋_GB2312"/>
          <w:spacing w:val="-6"/>
          <w:kern w:val="0"/>
          <w:sz w:val="24"/>
          <w:szCs w:val="24"/>
          <w:lang w:eastAsia="zh-CN"/>
        </w:rPr>
        <w:t>）</w:t>
      </w:r>
      <w:r>
        <w:rPr>
          <w:rFonts w:hint="eastAsia" w:ascii="Times New Roman" w:hAnsi="Times New Roman" w:eastAsia="仿宋_GB2312" w:cs="仿宋_GB2312"/>
          <w:spacing w:val="-6"/>
          <w:kern w:val="0"/>
          <w:sz w:val="24"/>
          <w:szCs w:val="24"/>
          <w:lang w:val="en-US" w:eastAsia="zh-CN"/>
        </w:rPr>
        <w:t>补答辩组织</w:t>
      </w:r>
      <w:bookmarkStart w:id="0" w:name="_GoBack"/>
      <w:bookmarkEnd w:id="0"/>
    </w:p>
    <w:p w14:paraId="2F208A62">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凡未能按期参加答辩、未达到条件参加答辩及答辩未通过的学生，如在补答辩前达到答辩要求，由各学院在202</w:t>
      </w:r>
      <w:r>
        <w:rPr>
          <w:rFonts w:hint="default"/>
          <w:sz w:val="24"/>
          <w:szCs w:val="24"/>
          <w:lang w:val="en-US"/>
        </w:rPr>
        <w:t>6</w:t>
      </w:r>
      <w:r>
        <w:rPr>
          <w:sz w:val="24"/>
          <w:szCs w:val="24"/>
        </w:rPr>
        <w:t>年5月10日前组织进行一次补答辩，如学生补答辩未通过，可在规定的修业年限内申请重修。</w:t>
      </w:r>
    </w:p>
    <w:p w14:paraId="49B1DB17">
      <w:pPr>
        <w:pStyle w:val="11"/>
        <w:pageBreakBefore w:val="0"/>
        <w:widowControl/>
        <w:kinsoku/>
        <w:wordWrap/>
        <w:overflowPunct/>
        <w:topLinePunct w:val="0"/>
        <w:autoSpaceDE/>
        <w:autoSpaceDN/>
        <w:bidi w:val="0"/>
        <w:snapToGrid/>
        <w:spacing w:line="540" w:lineRule="exact"/>
        <w:textAlignment w:val="auto"/>
        <w:rPr>
          <w:color w:val="0000FF"/>
          <w:sz w:val="24"/>
          <w:szCs w:val="24"/>
          <w:highlight w:val="none"/>
        </w:rPr>
      </w:pPr>
      <w:r>
        <w:rPr>
          <w:color w:val="0000FF"/>
          <w:sz w:val="24"/>
          <w:szCs w:val="24"/>
          <w:highlight w:val="none"/>
        </w:rPr>
        <w:t>注意事项：补答辩评定成绩＝指导教师评定成绩×55％＋补答辩评定成绩×45％。补答辩通过的，课程绩点记为1.0。</w:t>
      </w:r>
    </w:p>
    <w:p w14:paraId="306377A3">
      <w:pPr>
        <w:numPr>
          <w:ilvl w:val="0"/>
          <w:numId w:val="0"/>
        </w:numPr>
        <w:ind w:firstLine="456" w:firstLineChars="200"/>
        <w:rPr>
          <w:rFonts w:hint="default" w:ascii="Times New Roman" w:hAnsi="Times New Roman" w:eastAsia="仿宋_GB2312" w:cs="仿宋_GB2312"/>
          <w:spacing w:val="-6"/>
          <w:kern w:val="0"/>
          <w:sz w:val="24"/>
          <w:szCs w:val="24"/>
          <w:lang w:val="en-US" w:eastAsia="zh-CN"/>
        </w:rPr>
      </w:pPr>
      <w:r>
        <w:rPr>
          <w:rFonts w:hint="eastAsia" w:ascii="Times New Roman" w:hAnsi="Times New Roman" w:eastAsia="仿宋_GB2312" w:cs="仿宋_GB2312"/>
          <w:spacing w:val="-6"/>
          <w:kern w:val="0"/>
          <w:sz w:val="24"/>
          <w:szCs w:val="24"/>
          <w:lang w:val="en-US" w:eastAsia="zh-CN"/>
        </w:rPr>
        <w:t>（二）工作量统计及上报</w:t>
      </w:r>
    </w:p>
    <w:p w14:paraId="5FC379B4">
      <w:pPr>
        <w:pStyle w:val="11"/>
        <w:pageBreakBefore w:val="0"/>
        <w:widowControl/>
        <w:kinsoku/>
        <w:wordWrap/>
        <w:overflowPunct/>
        <w:topLinePunct w:val="0"/>
        <w:autoSpaceDE/>
        <w:autoSpaceDN/>
        <w:bidi w:val="0"/>
        <w:snapToGrid/>
        <w:spacing w:line="540" w:lineRule="exact"/>
        <w:textAlignment w:val="auto"/>
        <w:rPr>
          <w:color w:val="0000FF"/>
          <w:sz w:val="24"/>
          <w:szCs w:val="24"/>
          <w:highlight w:val="none"/>
        </w:rPr>
      </w:pPr>
      <w:r>
        <w:rPr>
          <w:rFonts w:hint="eastAsia" w:ascii="Times New Roman" w:hAnsi="Times New Roman" w:eastAsia="仿宋_GB2312" w:cs="仿宋_GB2312"/>
          <w:spacing w:val="-6"/>
          <w:kern w:val="0"/>
          <w:sz w:val="24"/>
          <w:szCs w:val="24"/>
          <w:lang w:val="en-US" w:eastAsia="zh-CN"/>
        </w:rPr>
        <w:t>答辩工作（含补答辩）全部结束后，请各学院及时核算工作人员工作量，填写《本科毕业论文（设计）答辩工作人员工作量总表》，于 5月19日前报送至邮箱：</w:t>
      </w:r>
      <w:r>
        <w:rPr>
          <w:rFonts w:hint="eastAsia" w:ascii="Times New Roman" w:hAnsi="Times New Roman" w:eastAsia="仿宋_GB2312" w:cs="仿宋_GB2312"/>
          <w:spacing w:val="-6"/>
          <w:kern w:val="0"/>
          <w:sz w:val="24"/>
          <w:szCs w:val="24"/>
          <w:lang w:val="en-US" w:eastAsia="zh-CN"/>
        </w:rPr>
        <w:fldChar w:fldCharType="begin"/>
      </w:r>
      <w:r>
        <w:rPr>
          <w:rFonts w:hint="eastAsia" w:ascii="Times New Roman" w:hAnsi="Times New Roman" w:eastAsia="仿宋_GB2312" w:cs="仿宋_GB2312"/>
          <w:spacing w:val="-6"/>
          <w:kern w:val="0"/>
          <w:sz w:val="24"/>
          <w:szCs w:val="24"/>
          <w:lang w:val="en-US" w:eastAsia="zh-CN"/>
        </w:rPr>
        <w:instrText xml:space="preserve"> HYPERLINK "mailto:211034@gwng.edu.cn" </w:instrText>
      </w:r>
      <w:r>
        <w:rPr>
          <w:rFonts w:hint="eastAsia" w:ascii="Times New Roman" w:hAnsi="Times New Roman" w:eastAsia="仿宋_GB2312" w:cs="仿宋_GB2312"/>
          <w:spacing w:val="-6"/>
          <w:kern w:val="0"/>
          <w:sz w:val="24"/>
          <w:szCs w:val="24"/>
          <w:lang w:val="en-US" w:eastAsia="zh-CN"/>
        </w:rPr>
        <w:fldChar w:fldCharType="separate"/>
      </w:r>
      <w:r>
        <w:rPr>
          <w:rStyle w:val="20"/>
          <w:rFonts w:hint="eastAsia" w:ascii="Times New Roman" w:hAnsi="Times New Roman" w:eastAsia="仿宋_GB2312" w:cs="仿宋_GB2312"/>
          <w:spacing w:val="-6"/>
          <w:kern w:val="0"/>
          <w:sz w:val="24"/>
          <w:szCs w:val="24"/>
          <w:lang w:val="en-US" w:eastAsia="zh-CN"/>
        </w:rPr>
        <w:t>211034@gwng.edu.cn</w:t>
      </w:r>
      <w:r>
        <w:rPr>
          <w:rFonts w:hint="eastAsia" w:ascii="Times New Roman" w:hAnsi="Times New Roman" w:eastAsia="仿宋_GB2312" w:cs="仿宋_GB2312"/>
          <w:spacing w:val="-6"/>
          <w:kern w:val="0"/>
          <w:sz w:val="24"/>
          <w:szCs w:val="24"/>
          <w:lang w:val="en-US" w:eastAsia="zh-CN"/>
        </w:rPr>
        <w:fldChar w:fldCharType="end"/>
      </w:r>
      <w:r>
        <w:rPr>
          <w:rFonts w:hint="eastAsia" w:cs="仿宋_GB2312"/>
          <w:spacing w:val="-6"/>
          <w:kern w:val="0"/>
          <w:sz w:val="24"/>
          <w:szCs w:val="24"/>
          <w:lang w:val="en-US" w:eastAsia="zh-CN"/>
        </w:rPr>
        <w:t xml:space="preserve"> </w:t>
      </w:r>
      <w:r>
        <w:rPr>
          <w:rFonts w:hint="eastAsia" w:ascii="Times New Roman" w:hAnsi="Times New Roman" w:eastAsia="仿宋_GB2312" w:cs="仿宋_GB2312"/>
          <w:spacing w:val="-6"/>
          <w:kern w:val="0"/>
          <w:sz w:val="24"/>
          <w:szCs w:val="24"/>
          <w:lang w:val="en-US" w:eastAsia="zh-CN"/>
        </w:rPr>
        <w:t>。</w:t>
      </w:r>
    </w:p>
    <w:p w14:paraId="13E55282">
      <w:pPr>
        <w:pStyle w:val="2"/>
        <w:pageBreakBefore w:val="0"/>
        <w:widowControl/>
        <w:kinsoku/>
        <w:wordWrap/>
        <w:overflowPunct/>
        <w:topLinePunct w:val="0"/>
        <w:autoSpaceDE/>
        <w:autoSpaceDN/>
        <w:bidi w:val="0"/>
        <w:snapToGrid/>
        <w:spacing w:line="540" w:lineRule="exact"/>
        <w:textAlignment w:val="auto"/>
        <w:rPr>
          <w:sz w:val="24"/>
          <w:szCs w:val="24"/>
        </w:rPr>
      </w:pPr>
      <w:r>
        <w:rPr>
          <w:sz w:val="24"/>
          <w:szCs w:val="24"/>
        </w:rPr>
        <w:t>八、毕业论文（设计）终稿提交与装订存档</w:t>
      </w:r>
    </w:p>
    <w:p w14:paraId="1C910DB5">
      <w:pPr>
        <w:pStyle w:val="2"/>
        <w:pageBreakBefore w:val="0"/>
        <w:widowControl/>
        <w:kinsoku/>
        <w:wordWrap/>
        <w:overflowPunct/>
        <w:topLinePunct w:val="0"/>
        <w:autoSpaceDE/>
        <w:autoSpaceDN/>
        <w:bidi w:val="0"/>
        <w:snapToGrid/>
        <w:spacing w:line="540" w:lineRule="exact"/>
        <w:textAlignment w:val="auto"/>
        <w:rPr>
          <w:rFonts w:hint="eastAsia" w:ascii="Times New Roman" w:hAnsi="Times New Roman" w:eastAsia="仿宋_GB2312" w:cs="仿宋_GB2312"/>
          <w:spacing w:val="-6"/>
          <w:kern w:val="0"/>
          <w:sz w:val="24"/>
          <w:szCs w:val="24"/>
          <w:lang w:val="en-US" w:eastAsia="zh-CN"/>
        </w:rPr>
      </w:pPr>
      <w:r>
        <w:rPr>
          <w:rFonts w:hint="eastAsia" w:ascii="Times New Roman" w:hAnsi="Times New Roman" w:eastAsia="仿宋_GB2312" w:cs="仿宋_GB2312"/>
          <w:spacing w:val="-6"/>
          <w:kern w:val="0"/>
          <w:sz w:val="24"/>
          <w:szCs w:val="24"/>
          <w:lang w:val="en-US" w:eastAsia="zh-CN"/>
        </w:rPr>
        <w:t>（一） 答辩通过的学生，须按规定将论文终稿上传至维普论文管理系统并装订成册。装订形式由各学院自行确定（学生自装或学院统装均可）。纸质版材料须于本学期放假前统一装入档案盒移交教务处，电子版由校院两级分别存档。</w:t>
      </w:r>
    </w:p>
    <w:p w14:paraId="32D7DC40">
      <w:pPr>
        <w:pStyle w:val="2"/>
        <w:pageBreakBefore w:val="0"/>
        <w:widowControl/>
        <w:kinsoku/>
        <w:wordWrap/>
        <w:overflowPunct/>
        <w:topLinePunct w:val="0"/>
        <w:autoSpaceDE/>
        <w:autoSpaceDN/>
        <w:bidi w:val="0"/>
        <w:snapToGrid/>
        <w:spacing w:line="540" w:lineRule="exact"/>
        <w:textAlignment w:val="auto"/>
        <w:rPr>
          <w:rFonts w:hint="eastAsia" w:ascii="Times New Roman" w:hAnsi="Times New Roman" w:eastAsia="仿宋_GB2312" w:cs="仿宋_GB2312"/>
          <w:spacing w:val="-6"/>
          <w:kern w:val="0"/>
          <w:sz w:val="24"/>
          <w:szCs w:val="24"/>
          <w:lang w:val="en-US" w:eastAsia="zh-CN"/>
        </w:rPr>
      </w:pPr>
      <w:r>
        <w:rPr>
          <w:rFonts w:hint="eastAsia" w:ascii="Times New Roman" w:hAnsi="Times New Roman" w:eastAsia="仿宋_GB2312" w:cs="仿宋_GB2312"/>
          <w:spacing w:val="-6"/>
          <w:kern w:val="0"/>
          <w:sz w:val="24"/>
          <w:szCs w:val="24"/>
          <w:lang w:val="en-US" w:eastAsia="zh-CN"/>
        </w:rPr>
        <w:t>（二） 优秀毕业论文除正常归档外，须额外提交一份纸质版至行政楼212办公室，以便汇编《2026届优秀毕业论文集》。</w:t>
      </w:r>
    </w:p>
    <w:p w14:paraId="51E3600A">
      <w:pPr>
        <w:pStyle w:val="2"/>
        <w:pageBreakBefore w:val="0"/>
        <w:widowControl/>
        <w:kinsoku/>
        <w:wordWrap/>
        <w:overflowPunct/>
        <w:topLinePunct w:val="0"/>
        <w:autoSpaceDE/>
        <w:autoSpaceDN/>
        <w:bidi w:val="0"/>
        <w:snapToGrid/>
        <w:spacing w:line="540" w:lineRule="exact"/>
        <w:textAlignment w:val="auto"/>
        <w:rPr>
          <w:sz w:val="24"/>
          <w:szCs w:val="24"/>
        </w:rPr>
      </w:pPr>
      <w:r>
        <w:rPr>
          <w:sz w:val="24"/>
          <w:szCs w:val="24"/>
        </w:rPr>
        <w:t>九、后勤保障</w:t>
      </w:r>
    </w:p>
    <w:p w14:paraId="1B4B9294">
      <w:pPr>
        <w:pStyle w:val="2"/>
        <w:pageBreakBefore w:val="0"/>
        <w:widowControl/>
        <w:kinsoku/>
        <w:wordWrap/>
        <w:overflowPunct/>
        <w:topLinePunct w:val="0"/>
        <w:autoSpaceDE/>
        <w:autoSpaceDN/>
        <w:bidi w:val="0"/>
        <w:snapToGrid/>
        <w:spacing w:line="540" w:lineRule="exact"/>
        <w:textAlignment w:val="auto"/>
        <w:rPr>
          <w:rFonts w:hint="eastAsia" w:ascii="Times New Roman" w:hAnsi="Times New Roman" w:eastAsia="仿宋_GB2312" w:cs="仿宋_GB2312"/>
          <w:spacing w:val="-6"/>
          <w:kern w:val="0"/>
          <w:sz w:val="24"/>
          <w:szCs w:val="24"/>
          <w:lang w:val="en-US" w:eastAsia="zh-CN"/>
        </w:rPr>
      </w:pPr>
      <w:r>
        <w:rPr>
          <w:rFonts w:hint="eastAsia" w:ascii="Times New Roman" w:hAnsi="Times New Roman" w:eastAsia="仿宋_GB2312" w:cs="仿宋_GB2312"/>
          <w:spacing w:val="-6"/>
          <w:kern w:val="0"/>
          <w:sz w:val="24"/>
          <w:szCs w:val="24"/>
          <w:lang w:val="en-US" w:eastAsia="zh-CN"/>
        </w:rPr>
        <w:t>为保障答辩工作顺利进行，4月25日（星期六）校车将执行工作日运行时刻表，教工饭堂亦正常营业。</w:t>
      </w:r>
    </w:p>
    <w:p w14:paraId="7FED4827">
      <w:pPr>
        <w:pStyle w:val="2"/>
        <w:pageBreakBefore w:val="0"/>
        <w:widowControl/>
        <w:kinsoku/>
        <w:wordWrap/>
        <w:overflowPunct/>
        <w:topLinePunct w:val="0"/>
        <w:autoSpaceDE/>
        <w:autoSpaceDN/>
        <w:bidi w:val="0"/>
        <w:snapToGrid/>
        <w:spacing w:line="540" w:lineRule="exact"/>
        <w:textAlignment w:val="auto"/>
        <w:rPr>
          <w:sz w:val="24"/>
          <w:szCs w:val="24"/>
        </w:rPr>
      </w:pPr>
      <w:r>
        <w:rPr>
          <w:sz w:val="24"/>
          <w:szCs w:val="24"/>
        </w:rPr>
        <w:t>十、其他有关事项按《毕业论文（设计）工作管理办法》办理。</w:t>
      </w:r>
    </w:p>
    <w:p w14:paraId="26356D37">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如有未尽事宜，请联系：谢老师</w:t>
      </w:r>
      <w:r>
        <w:rPr>
          <w:rFonts w:hint="eastAsia"/>
          <w:sz w:val="24"/>
          <w:szCs w:val="24"/>
          <w:lang w:eastAsia="zh-CN"/>
        </w:rPr>
        <w:t>、</w:t>
      </w:r>
      <w:r>
        <w:rPr>
          <w:sz w:val="24"/>
          <w:szCs w:val="24"/>
        </w:rPr>
        <w:t>罗老师</w:t>
      </w:r>
      <w:r>
        <w:rPr>
          <w:rFonts w:hint="eastAsia"/>
          <w:sz w:val="24"/>
          <w:szCs w:val="24"/>
          <w:lang w:val="en-US" w:eastAsia="zh-CN"/>
        </w:rPr>
        <w:t xml:space="preserve"> </w:t>
      </w:r>
      <w:r>
        <w:rPr>
          <w:sz w:val="24"/>
          <w:szCs w:val="24"/>
        </w:rPr>
        <w:t>电话：020－22245806</w:t>
      </w:r>
    </w:p>
    <w:p w14:paraId="0C1A4F72">
      <w:pPr>
        <w:pStyle w:val="11"/>
        <w:pageBreakBefore w:val="0"/>
        <w:widowControl/>
        <w:kinsoku/>
        <w:wordWrap/>
        <w:overflowPunct/>
        <w:topLinePunct w:val="0"/>
        <w:autoSpaceDE/>
        <w:autoSpaceDN/>
        <w:bidi w:val="0"/>
        <w:snapToGrid/>
        <w:spacing w:line="540" w:lineRule="exact"/>
        <w:textAlignment w:val="auto"/>
        <w:rPr>
          <w:sz w:val="24"/>
          <w:szCs w:val="24"/>
        </w:rPr>
      </w:pPr>
    </w:p>
    <w:p w14:paraId="6F6A2829">
      <w:pPr>
        <w:pStyle w:val="11"/>
        <w:pageBreakBefore w:val="0"/>
        <w:widowControl/>
        <w:kinsoku/>
        <w:wordWrap/>
        <w:overflowPunct/>
        <w:topLinePunct w:val="0"/>
        <w:autoSpaceDE/>
        <w:autoSpaceDN/>
        <w:bidi w:val="0"/>
        <w:snapToGrid/>
        <w:spacing w:line="540" w:lineRule="exact"/>
        <w:textAlignment w:val="auto"/>
        <w:rPr>
          <w:rFonts w:hint="eastAsia"/>
          <w:sz w:val="24"/>
          <w:szCs w:val="24"/>
          <w:lang w:eastAsia="zh-CN"/>
        </w:rPr>
      </w:pPr>
      <mc:AlternateContent>
        <mc:Choice Requires="wpsCustomData">
          <wpsCustomData:docfieldStart id="2" docfieldname="附件说明_1" hidden="0" print="1" readonly="0" index="10"/>
        </mc:Choice>
      </mc:AlternateContent>
      <w:r>
        <w:rPr>
          <w:sz w:val="24"/>
          <w:szCs w:val="24"/>
        </w:rPr>
        <w:t>附件</w:t>
      </w:r>
      <w:r>
        <w:rPr>
          <w:rFonts w:hint="eastAsia"/>
          <w:sz w:val="24"/>
          <w:szCs w:val="24"/>
          <w:lang w:eastAsia="zh-CN"/>
        </w:rPr>
        <w:t>：</w:t>
      </w:r>
    </w:p>
    <w:p w14:paraId="1A68770E">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1.广东外语外贸大学</w:t>
      </w:r>
      <w:r>
        <w:rPr>
          <w:rFonts w:hint="eastAsia"/>
          <w:sz w:val="24"/>
          <w:szCs w:val="24"/>
          <w:lang w:val="en-US" w:eastAsia="zh-CN"/>
        </w:rPr>
        <w:t>南国商学院</w:t>
      </w:r>
      <w:r>
        <w:rPr>
          <w:sz w:val="24"/>
          <w:szCs w:val="24"/>
        </w:rPr>
        <w:t>答辩分配操作程序</w:t>
      </w:r>
    </w:p>
    <w:p w14:paraId="201B595F">
      <w:pPr>
        <w:pStyle w:val="11"/>
        <w:pageBreakBefore w:val="0"/>
        <w:widowControl/>
        <w:kinsoku/>
        <w:wordWrap/>
        <w:overflowPunct/>
        <w:topLinePunct w:val="0"/>
        <w:autoSpaceDE/>
        <w:autoSpaceDN/>
        <w:bidi w:val="0"/>
        <w:snapToGrid/>
        <w:spacing w:line="540" w:lineRule="exact"/>
        <w:textAlignment w:val="auto"/>
        <w:rPr>
          <w:sz w:val="24"/>
          <w:szCs w:val="24"/>
        </w:rPr>
      </w:pPr>
      <w:r>
        <w:rPr>
          <w:sz w:val="24"/>
          <w:szCs w:val="24"/>
        </w:rPr>
        <w:t>2.广东外语外贸大学南国商学院本科毕业论文（设计）答辩程序</w:t>
      </w:r>
    </w:p>
    <w:p w14:paraId="4F5EE265">
      <w:pPr>
        <w:pStyle w:val="11"/>
        <w:pageBreakBefore w:val="0"/>
        <w:widowControl/>
        <w:kinsoku/>
        <w:wordWrap/>
        <w:overflowPunct/>
        <w:topLinePunct w:val="0"/>
        <w:autoSpaceDE/>
        <w:autoSpaceDN/>
        <w:bidi w:val="0"/>
        <w:snapToGrid/>
        <w:spacing w:line="540" w:lineRule="exact"/>
        <w:textAlignment w:val="auto"/>
        <w:rPr>
          <w:rFonts w:hint="eastAsia"/>
          <w:sz w:val="24"/>
          <w:szCs w:val="24"/>
          <w:lang w:val="en-US" w:eastAsia="zh-CN"/>
        </w:rPr>
      </w:pPr>
      <w:r>
        <w:rPr>
          <w:sz w:val="24"/>
          <w:szCs w:val="24"/>
        </w:rPr>
        <w:t>3.2026届毕业论文（设计）答辩准备工作表</w:t>
      </w:r>
      <mc:AlternateContent>
        <mc:Choice Requires="wpsCustomData">
          <wpsCustomData:docfieldEnd id="2"/>
        </mc:Choice>
      </mc:AlternateContent>
    </w:p>
    <w:p w14:paraId="6577385B">
      <w:pPr>
        <w:pStyle w:val="11"/>
        <w:keepNext w:val="0"/>
        <w:keepLines w:val="0"/>
        <w:pageBreakBefore w:val="0"/>
        <w:widowControl/>
        <w:kinsoku/>
        <w:wordWrap/>
        <w:overflowPunct/>
        <w:topLinePunct w:val="0"/>
        <w:autoSpaceDE/>
        <w:autoSpaceDN/>
        <w:bidi w:val="0"/>
        <w:adjustRightInd w:val="0"/>
        <w:snapToGrid/>
        <w:spacing w:line="540" w:lineRule="exact"/>
        <w:ind w:left="3858" w:leftChars="0" w:right="-339" w:rightChars="0" w:firstLine="0" w:firstLineChars="0"/>
        <w:jc w:val="right"/>
        <w:textAlignment w:val="auto"/>
        <w:rPr>
          <w:rFonts w:hint="default"/>
          <w:sz w:val="24"/>
          <w:szCs w:val="24"/>
          <w:lang w:val="en-US" w:eastAsia="zh-CN"/>
        </w:rPr>
      </w:pPr>
      <mc:AlternateContent>
        <mc:Choice Requires="wpsCustomData">
          <wpsCustomData:docfieldStart id="3" docfieldname="发文机关署名_1" hidden="0" print="1" readonly="0" index="11"/>
        </mc:Choice>
      </mc:AlternateContent>
      <w:r>
        <w:rPr>
          <w:rFonts w:hint="eastAsia"/>
          <w:sz w:val="24"/>
          <w:szCs w:val="24"/>
          <w:lang w:val="en-US" w:eastAsia="zh-CN"/>
        </w:rPr>
        <w:t> 广东外语外贸大学南国商学院教务处</w:t>
      </w:r>
      <mc:AlternateContent>
        <mc:Choice Requires="wpsCustomData">
          <wpsCustomData:docfieldEnd id="3"/>
        </mc:Choice>
      </mc:AlternateContent>
    </w:p>
    <w:p w14:paraId="19EDE934">
      <w:pPr>
        <w:pStyle w:val="11"/>
        <w:keepNext w:val="0"/>
        <w:keepLines w:val="0"/>
        <w:pageBreakBefore w:val="0"/>
        <w:widowControl/>
        <w:kinsoku/>
        <w:wordWrap/>
        <w:overflowPunct/>
        <w:topLinePunct w:val="0"/>
        <w:autoSpaceDE/>
        <w:autoSpaceDN/>
        <w:bidi w:val="0"/>
        <w:adjustRightInd w:val="0"/>
        <w:snapToGrid/>
        <w:spacing w:line="540" w:lineRule="exact"/>
        <w:ind w:left="0" w:leftChars="0" w:right="840" w:rightChars="400" w:firstLine="0" w:firstLineChars="0"/>
        <w:jc w:val="right"/>
        <w:textAlignment w:val="auto"/>
        <w:rPr>
          <w:rFonts w:hint="eastAsia" w:ascii="Times New Roman" w:hAnsi="Times New Roman" w:eastAsia="仿宋_GB2312" w:cs="仿宋_GB2312"/>
          <w:sz w:val="24"/>
          <w:szCs w:val="24"/>
          <w:lang w:eastAsia="zh-CN"/>
        </w:rPr>
      </w:pPr>
      <mc:AlternateContent>
        <mc:Choice Requires="wpsCustomData">
          <wpsCustomData:docfieldStart id="4" docfieldname="成文日期_1" hidden="0" print="1" readonly="0" index="12"/>
        </mc:Choice>
      </mc:AlternateContent>
      <w:r>
        <w:rPr>
          <w:rFonts w:hint="eastAsia"/>
          <w:sz w:val="24"/>
          <w:szCs w:val="24"/>
          <w:lang w:val="en-US" w:eastAsia="zh-CN"/>
        </w:rPr>
        <w:t>  2026年4月2日</w:t>
      </w:r>
      <mc:AlternateContent>
        <mc:Choice Requires="wpsCustomData">
          <wpsCustomData:docfieldEnd id="4"/>
        </mc:Choice>
      </mc:AlternateContent>
    </w:p>
    <w:sectPr>
      <w:footerReference r:id="rId3" w:type="default"/>
      <w:footerReference r:id="rId4" w:type="even"/>
      <w:pgSz w:w="11906" w:h="16838"/>
      <w:pgMar w:top="2098" w:right="1474" w:bottom="1984" w:left="1587" w:header="851" w:footer="1417" w:gutter="0"/>
      <w:pgNumType w:fmt="decimal" w:start="1"/>
      <w:cols w:space="425"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Times New Roman Bold">
    <w:panose1 w:val="02020603050405020304"/>
    <w:charset w:val="00"/>
    <w:family w:val="auto"/>
    <w:pitch w:val="default"/>
    <w:sig w:usb0="E0002AEF" w:usb1="C0007841" w:usb2="00000009" w:usb3="00000000" w:csb0="400001FF" w:csb1="FFFF0000"/>
  </w:font>
  <w:font w:name="Calibri Light">
    <w:altName w:val="Helvetica Neue"/>
    <w:panose1 w:val="00000000000000000000"/>
    <w:charset w:val="00"/>
    <w:family w:val="auto"/>
    <w:pitch w:val="default"/>
    <w:sig w:usb0="00000000" w:usb1="00000000" w:usb2="00000000" w:usb3="00000000" w:csb0="00000000" w:csb1="00000000"/>
  </w:font>
  <w:font w:name="Timesnewroman">
    <w:altName w:val="Times New Roman"/>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楷体_GB2312">
    <w:altName w:val="汉仪楷体简"/>
    <w:panose1 w:val="00000000000000000000"/>
    <w:charset w:val="00"/>
    <w:family w:val="auto"/>
    <w:pitch w:val="default"/>
    <w:sig w:usb0="00000000" w:usb1="00000000" w:usb2="00000000" w:usb3="00000000" w:csb0="00000000" w:csb1="00000000"/>
  </w:font>
  <w:font w:name="汉仪楷体简">
    <w:panose1 w:val="02010600000101010101"/>
    <w:charset w:val="86"/>
    <w:family w:val="auto"/>
    <w:pitch w:val="default"/>
    <w:sig w:usb0="00000001" w:usb1="080E0800" w:usb2="00000002"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00000001" w:usb1="08000000" w:usb2="00000000" w:usb3="00000000" w:csb0="00040000" w:csb1="00000000"/>
  </w:font>
  <w:font w:name="stsong">
    <w:panose1 w:val="02010600040101010101"/>
    <w:charset w:val="86"/>
    <w:family w:val="auto"/>
    <w:pitch w:val="default"/>
    <w:sig w:usb0="80000287" w:usb1="280F3C52" w:usb2="00000016" w:usb3="00000000" w:csb0="0004001F"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9666">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3D7C23">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0D3D7C23">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A0076">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C8CB3A">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5DC8CB3A">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0C8A50"/>
    <w:multiLevelType w:val="singleLevel"/>
    <w:tmpl w:val="F70C8A5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embedSystemFonts/>
  <w:bordersDoNotSurroundHeader w:val="0"/>
  <w:bordersDoNotSurroundFooter w:val="0"/>
  <w:documentProtection w:enforcement="0"/>
  <w:defaultTabStop w:val="420"/>
  <w:evenAndOddHeaders w:val="1"/>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wNWRiMzUxZGJiNmRiZTM2YWI3NDkxZWFlOGY1ODkifQ=="/>
  </w:docVars>
  <w:rsids>
    <w:rsidRoot w:val="7D002A5E"/>
    <w:rsid w:val="06CB62DC"/>
    <w:rsid w:val="08765E68"/>
    <w:rsid w:val="1E551DC9"/>
    <w:rsid w:val="1FB6EA40"/>
    <w:rsid w:val="25D616BE"/>
    <w:rsid w:val="337EC8A6"/>
    <w:rsid w:val="3A866B66"/>
    <w:rsid w:val="3FF7F2B8"/>
    <w:rsid w:val="44F71EFD"/>
    <w:rsid w:val="47792ABE"/>
    <w:rsid w:val="4990394C"/>
    <w:rsid w:val="4AD82B6C"/>
    <w:rsid w:val="4FFF7C79"/>
    <w:rsid w:val="533FA447"/>
    <w:rsid w:val="53D72337"/>
    <w:rsid w:val="54D656F3"/>
    <w:rsid w:val="5B46A1B8"/>
    <w:rsid w:val="5D6B948F"/>
    <w:rsid w:val="5E7E66D1"/>
    <w:rsid w:val="609F3BE8"/>
    <w:rsid w:val="63420250"/>
    <w:rsid w:val="6C277DF4"/>
    <w:rsid w:val="6FEE0C4B"/>
    <w:rsid w:val="730D09BA"/>
    <w:rsid w:val="737EAE26"/>
    <w:rsid w:val="73EFEB03"/>
    <w:rsid w:val="7D002A5E"/>
    <w:rsid w:val="7D766960"/>
    <w:rsid w:val="7D894471"/>
    <w:rsid w:val="7EF2A186"/>
    <w:rsid w:val="85FFD2EC"/>
    <w:rsid w:val="A2BF1DEC"/>
    <w:rsid w:val="ADBDA749"/>
    <w:rsid w:val="AF7E9519"/>
    <w:rsid w:val="B7CD438C"/>
    <w:rsid w:val="D7FFBEE0"/>
    <w:rsid w:val="ED4AF4AC"/>
    <w:rsid w:val="EEEF6DB9"/>
    <w:rsid w:val="F3FF2858"/>
    <w:rsid w:val="F73D958D"/>
    <w:rsid w:val="F73F6C82"/>
    <w:rsid w:val="F7DDCCDC"/>
    <w:rsid w:val="F7FC7FE9"/>
    <w:rsid w:val="FA7F4A4B"/>
    <w:rsid w:val="FDCB11B5"/>
    <w:rsid w:val="FE7E1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autoRedefine/>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semiHidden/>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4">
    <w:name w:val="heading 3"/>
    <w:next w:val="1"/>
    <w:semiHidden/>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5">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6">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7">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8">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9">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0">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18">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11">
    <w:name w:val="Body Tex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2">
    <w:name w:val="footer"/>
    <w:basedOn w:val="1"/>
    <w:uiPriority w:val="0"/>
    <w:pPr>
      <w:tabs>
        <w:tab w:val="center" w:pos="4153"/>
        <w:tab w:val="right" w:pos="8306"/>
      </w:tabs>
      <w:snapToGrid w:val="0"/>
      <w:jc w:val="left"/>
    </w:pPr>
    <w:rPr>
      <w:sz w:val="18"/>
    </w:rPr>
  </w:style>
  <w:style w:type="paragraph" w:styleId="1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5">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6">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character" w:styleId="19">
    <w:name w:val="Strong"/>
    <w:basedOn w:val="18"/>
    <w:autoRedefine/>
    <w:qFormat/>
    <w:uiPriority w:val="0"/>
    <w:rPr>
      <w:b/>
    </w:rPr>
  </w:style>
  <w:style w:type="character" w:styleId="20">
    <w:name w:val="Hyperlink"/>
    <w:basedOn w:val="18"/>
    <w:autoRedefine/>
    <w:qFormat/>
    <w:uiPriority w:val="0"/>
    <w:rPr>
      <w:color w:val="0000FF"/>
      <w:u w:val="single"/>
    </w:rPr>
  </w:style>
  <w:style w:type="paragraph" w:customStyle="1" w:styleId="21">
    <w:name w:val="p1"/>
    <w:basedOn w:val="1"/>
    <w:uiPriority w:val="0"/>
    <w:pPr>
      <w:spacing w:before="0" w:beforeAutospacing="0" w:after="0" w:afterAutospacing="0"/>
      <w:ind w:left="0" w:right="0"/>
      <w:jc w:val="left"/>
    </w:pPr>
    <w:rPr>
      <w:rFonts w:ascii="stsong" w:hAnsi="stsong" w:eastAsia="stsong" w:cs="stsong"/>
      <w:kern w:val="0"/>
      <w:sz w:val="36"/>
      <w:szCs w:val="36"/>
      <w:lang w:val="en-US" w:eastAsia="zh-CN" w:bidi="ar"/>
    </w:rPr>
  </w:style>
  <w:style w:type="paragraph" w:customStyle="1" w:styleId="22">
    <w:name w:val="主送对象"/>
    <w:next w:val="1"/>
    <w:uiPriority w:val="0"/>
    <w:pPr>
      <w:spacing w:line="560" w:lineRule="exact"/>
    </w:pPr>
    <w:rPr>
      <w:rFonts w:ascii="Times New Roman" w:hAnsi="Times New Roman" w:eastAsia="仿宋_GB2312" w:cs="仿宋_GB231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1501</Words>
  <Characters>1554</Characters>
  <Lines>0</Lines>
  <Paragraphs>0</Paragraphs>
  <TotalTime>0</TotalTime>
  <ScaleCrop>false</ScaleCrop>
  <LinksUpToDate>false</LinksUpToDate>
  <CharactersWithSpaces>1604</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2024-03-27T10:51:00Z</dcterms:created>
  <dc:creator>-</dc:creator>
  <cp:lastModifiedBy>XIE CHENG</cp:lastModifiedBy>
  <dcterms:modified xsi:type="dcterms:W3CDTF">2026-04-02T09:32:34Z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F0C986157CCB4EE4A048DB64ED568A13_11</vt:lpwstr>
  </property>
</Properties>
</file>